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4B6F" w14:textId="1AD98A46" w:rsidR="00956BAF" w:rsidRDefault="00E17616" w:rsidP="00956BAF">
      <w:pPr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56BA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0256" behindDoc="1" locked="0" layoutInCell="1" allowOverlap="1" wp14:anchorId="35B010D3" wp14:editId="3F840F5A">
            <wp:simplePos x="0" y="0"/>
            <wp:positionH relativeFrom="column">
              <wp:posOffset>139700</wp:posOffset>
            </wp:positionH>
            <wp:positionV relativeFrom="paragraph">
              <wp:posOffset>5080</wp:posOffset>
            </wp:positionV>
            <wp:extent cx="1028700" cy="1048385"/>
            <wp:effectExtent l="0" t="0" r="0" b="0"/>
            <wp:wrapTight wrapText="bothSides">
              <wp:wrapPolygon edited="0">
                <wp:start x="6800" y="0"/>
                <wp:lineTo x="4800" y="785"/>
                <wp:lineTo x="0" y="5495"/>
                <wp:lineTo x="0" y="14915"/>
                <wp:lineTo x="2800" y="18839"/>
                <wp:lineTo x="6400" y="21194"/>
                <wp:lineTo x="6800" y="21194"/>
                <wp:lineTo x="14400" y="21194"/>
                <wp:lineTo x="14800" y="21194"/>
                <wp:lineTo x="18400" y="18839"/>
                <wp:lineTo x="21200" y="14915"/>
                <wp:lineTo x="21200" y="5495"/>
                <wp:lineTo x="16400" y="785"/>
                <wp:lineTo x="14400" y="0"/>
                <wp:lineTo x="6800" y="0"/>
              </wp:wrapPolygon>
            </wp:wrapTight>
            <wp:docPr id="5" name="Picture 4" descr="Ein Bild, das Text, Kreis, Schrift, Logo enthält.&#10;&#10;KI-generierte Inhalte können fehlerhaft sein.">
              <a:extLst xmlns:a="http://schemas.openxmlformats.org/drawingml/2006/main">
                <a:ext uri="{FF2B5EF4-FFF2-40B4-BE49-F238E27FC236}">
                  <a16:creationId xmlns:a16="http://schemas.microsoft.com/office/drawing/2014/main" id="{F294B98D-E7CE-47DE-A9A8-3C67451C1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in Bild, das Text, Kreis, Schrift, Logo enthält.&#10;&#10;KI-generierte Inhalte können fehlerhaft sein.">
                      <a:extLst>
                        <a:ext uri="{FF2B5EF4-FFF2-40B4-BE49-F238E27FC236}">
                          <a16:creationId xmlns:a16="http://schemas.microsoft.com/office/drawing/2014/main" id="{F294B98D-E7CE-47DE-A9A8-3C67451C1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B1C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21888" behindDoc="1" locked="0" layoutInCell="1" allowOverlap="1" wp14:anchorId="1A075CFD" wp14:editId="4CB32DF6">
            <wp:simplePos x="0" y="0"/>
            <wp:positionH relativeFrom="column">
              <wp:posOffset>4279900</wp:posOffset>
            </wp:positionH>
            <wp:positionV relativeFrom="paragraph">
              <wp:posOffset>1905</wp:posOffset>
            </wp:positionV>
            <wp:extent cx="996950" cy="1030605"/>
            <wp:effectExtent l="0" t="0" r="0" b="0"/>
            <wp:wrapTight wrapText="bothSides">
              <wp:wrapPolygon edited="0">
                <wp:start x="0" y="0"/>
                <wp:lineTo x="0" y="21161"/>
                <wp:lineTo x="21050" y="21161"/>
                <wp:lineTo x="21050" y="0"/>
                <wp:lineTo x="0" y="0"/>
              </wp:wrapPolygon>
            </wp:wrapTight>
            <wp:docPr id="1" name="Picture 1" descr="Macintosh HD:private:var:folders:g0:38t7s7ms3ss2djrkqmz2n4j00000gp:T:TemporaryItems:Screenshot 2023-06-26 at 11.40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g0:38t7s7ms3ss2djrkqmz2n4j00000gp:T:TemporaryItems:Screenshot 2023-06-26 at 11.40.3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861D1" w14:textId="1718942F" w:rsidR="00956BAF" w:rsidRDefault="00956BAF" w:rsidP="00956BAF">
      <w:pPr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3B3120" w14:textId="77777777" w:rsidR="00667B1C" w:rsidRDefault="00667B1C" w:rsidP="00956BAF">
      <w:pPr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A221F5" w14:textId="77777777" w:rsidR="00667B1C" w:rsidRDefault="00667B1C" w:rsidP="00956BAF">
      <w:pPr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C77763" w14:textId="42E3C74B" w:rsidR="00956BAF" w:rsidRDefault="00956BAF" w:rsidP="00956B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56BA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Presentation</w:t>
      </w:r>
    </w:p>
    <w:p w14:paraId="292F7553" w14:textId="39A51A3C" w:rsidR="0058799F" w:rsidRPr="0058799F" w:rsidRDefault="004A51A7" w:rsidP="00956B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hyperlink r:id="rId9" w:history="1">
        <w:r w:rsidRPr="0010332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European Society for Research on the Education of Adults (ESREA)</w:t>
        </w:r>
      </w:hyperlink>
      <w:r w:rsidRPr="0058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</w:t>
      </w:r>
      <w:r w:rsidR="0058799F" w:rsidRPr="0058799F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a non-profit research association </w:t>
      </w:r>
      <w:r w:rsidRPr="0058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devoted to advancement of high-quality research on the education and learning of adults in Europe. </w:t>
      </w:r>
    </w:p>
    <w:p w14:paraId="1CB4AEE5" w14:textId="77777777" w:rsidR="0058799F" w:rsidRPr="0058799F" w:rsidRDefault="0058799F" w:rsidP="00956B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society supports: 1) </w:t>
      </w:r>
      <w:r w:rsidRPr="0058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co-operation among researchers;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2) </w:t>
      </w:r>
      <w:r w:rsidRPr="0058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development of research and </w:t>
      </w:r>
      <w:r w:rsidRPr="0058799F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dissemination of results </w:t>
      </w:r>
      <w:r w:rsidR="00D61BBE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(e.g. </w:t>
      </w:r>
      <w:r w:rsidRPr="0058799F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through conferences,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a </w:t>
      </w:r>
      <w:hyperlink r:id="rId10" w:history="1">
        <w:r w:rsidRPr="0058799F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book series</w:t>
        </w:r>
      </w:hyperlink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,</w:t>
      </w:r>
      <w:r w:rsidRPr="0058799F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and </w:t>
      </w:r>
      <w:hyperlink r:id="rId11" w:history="1">
        <w:r w:rsidRPr="0058799F">
          <w:rPr>
            <w:rStyle w:val="Hyperlink"/>
            <w:rFonts w:ascii="Times New Roman" w:eastAsiaTheme="minorEastAsia" w:hAnsi="Times New Roman" w:cs="Times New Roman"/>
            <w:i/>
            <w:sz w:val="24"/>
            <w:szCs w:val="24"/>
            <w:lang w:val="en-US"/>
          </w:rPr>
          <w:t>The</w:t>
        </w:r>
        <w:r w:rsidRPr="0058799F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 xml:space="preserve"> </w:t>
        </w:r>
        <w:r w:rsidRPr="0058799F">
          <w:rPr>
            <w:rStyle w:val="Hyperlink"/>
            <w:rFonts w:ascii="Times New Roman" w:eastAsiaTheme="minorEastAsia" w:hAnsi="Times New Roman" w:cs="Times New Roman"/>
            <w:i/>
            <w:sz w:val="24"/>
            <w:szCs w:val="24"/>
            <w:lang w:val="en-US"/>
          </w:rPr>
          <w:t>European Journal for Research on the Education and Learning of Adults</w:t>
        </w:r>
        <w:r w:rsidR="00D61BBE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 xml:space="preserve"> - </w:t>
        </w:r>
        <w:r w:rsidRPr="0058799F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RELA)</w:t>
        </w:r>
      </w:hyperlink>
      <w:r w:rsidRPr="0058799F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;</w:t>
      </w:r>
      <w:r w:rsidRPr="0058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3) </w:t>
      </w:r>
      <w:r w:rsidRPr="0058799F">
        <w:rPr>
          <w:rFonts w:ascii="Times New Roman" w:eastAsia="Times New Roman" w:hAnsi="Times New Roman" w:cs="Times New Roman"/>
          <w:sz w:val="24"/>
          <w:szCs w:val="24"/>
          <w:lang w:eastAsia="en-GB"/>
        </w:rPr>
        <w:t>training of early career researchers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(e.g. through </w:t>
      </w:r>
      <w:hyperlink r:id="rId12" w:history="1">
        <w:r w:rsidRPr="0058799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winter/summer schools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and </w:t>
      </w:r>
      <w:r w:rsidRPr="0058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continuing professional development of researchers; and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4) </w:t>
      </w:r>
      <w:r w:rsidRPr="0058799F">
        <w:rPr>
          <w:rFonts w:ascii="Times New Roman" w:eastAsia="Times New Roman" w:hAnsi="Times New Roman" w:cs="Times New Roman"/>
          <w:sz w:val="24"/>
          <w:szCs w:val="24"/>
          <w:lang w:eastAsia="en-GB"/>
        </w:rPr>
        <w:t>collaboration with other</w:t>
      </w:r>
      <w:r w:rsidR="004F73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European organisations and </w:t>
      </w:r>
      <w:r w:rsidRPr="0058799F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organisations working in all areas of adult and continuing education.</w:t>
      </w:r>
    </w:p>
    <w:p w14:paraId="5AA65471" w14:textId="35CB0672" w:rsidR="0058799F" w:rsidRDefault="0058799F" w:rsidP="00956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ESREA’s</w:t>
      </w:r>
      <w:r w:rsidRPr="0058799F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main activities are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conferences and seminars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organis</w:t>
      </w:r>
      <w:r w:rsidRPr="0058799F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ed</w:t>
      </w:r>
      <w:proofErr w:type="spellEnd"/>
      <w:r w:rsidRPr="0058799F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by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its 13</w:t>
      </w:r>
      <w:r w:rsidRPr="0058799F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13" w:history="1">
        <w:r w:rsidRPr="0058799F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research networks</w:t>
        </w:r>
      </w:hyperlink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, and the ESREA triennial conference, </w:t>
      </w:r>
      <w:r w:rsidRPr="0058799F">
        <w:rPr>
          <w:rFonts w:ascii="Times New Roman" w:hAnsi="Times New Roman" w:cs="Times New Roman"/>
          <w:sz w:val="24"/>
          <w:szCs w:val="24"/>
        </w:rPr>
        <w:t>one of the key moments in the organisation’s life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58799F">
        <w:rPr>
          <w:rFonts w:ascii="Times New Roman" w:hAnsi="Times New Roman" w:cs="Times New Roman"/>
          <w:sz w:val="24"/>
          <w:szCs w:val="24"/>
        </w:rPr>
        <w:t xml:space="preserve"> members (and non members)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58799F">
        <w:rPr>
          <w:rFonts w:ascii="Times New Roman" w:hAnsi="Times New Roman" w:cs="Times New Roman"/>
          <w:sz w:val="24"/>
          <w:szCs w:val="24"/>
        </w:rPr>
        <w:t>meet across networks and engage in cross-network conversations.</w:t>
      </w:r>
    </w:p>
    <w:p w14:paraId="3A02574E" w14:textId="3BD4BDB3" w:rsidR="004F7337" w:rsidRDefault="004F7337" w:rsidP="00956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ESREA is a membership organisation. </w:t>
      </w:r>
      <w:hyperlink r:id="rId14" w:history="1">
        <w:r w:rsidRPr="004F7337">
          <w:rPr>
            <w:rStyle w:val="Hyperlink"/>
            <w:rFonts w:ascii="Times New Roman" w:hAnsi="Times New Roman" w:cs="Times New Roman"/>
            <w:sz w:val="24"/>
            <w:szCs w:val="24"/>
          </w:rPr>
          <w:t>Membership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is open to</w:t>
      </w:r>
      <w:r w:rsidRPr="004F7337">
        <w:rPr>
          <w:rFonts w:ascii="Times New Roman" w:hAnsi="Times New Roman" w:cs="Times New Roman"/>
          <w:sz w:val="24"/>
          <w:szCs w:val="24"/>
        </w:rPr>
        <w:t> individuals and institutions engaged or interested in research on the educati</w:t>
      </w:r>
      <w:r>
        <w:rPr>
          <w:rFonts w:ascii="Times New Roman" w:hAnsi="Times New Roman" w:cs="Times New Roman"/>
          <w:sz w:val="24"/>
          <w:szCs w:val="24"/>
        </w:rPr>
        <w:t>on of adults and adult learning</w:t>
      </w:r>
      <w:r w:rsidR="006E1CD4">
        <w:rPr>
          <w:rFonts w:ascii="Times New Roman" w:hAnsi="Times New Roman" w:cs="Times New Roman"/>
          <w:sz w:val="24"/>
          <w:szCs w:val="24"/>
        </w:rPr>
        <w:t xml:space="preserve"> from Europe and beyond</w:t>
      </w:r>
      <w:r>
        <w:rPr>
          <w:rFonts w:ascii="Times New Roman" w:hAnsi="Times New Roman" w:cs="Times New Roman"/>
          <w:sz w:val="24"/>
          <w:szCs w:val="24"/>
        </w:rPr>
        <w:t xml:space="preserve">. Benefits include: 1) </w:t>
      </w:r>
      <w:r w:rsidRPr="004F7337">
        <w:rPr>
          <w:rFonts w:ascii="Times New Roman" w:hAnsi="Times New Roman" w:cs="Times New Roman"/>
          <w:sz w:val="24"/>
          <w:szCs w:val="24"/>
        </w:rPr>
        <w:t xml:space="preserve">reduced registration fees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4F7337">
        <w:rPr>
          <w:rFonts w:ascii="Times New Roman" w:hAnsi="Times New Roman" w:cs="Times New Roman"/>
          <w:sz w:val="24"/>
          <w:szCs w:val="24"/>
        </w:rPr>
        <w:t xml:space="preserve"> all ESREA and networks conferences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7337">
        <w:rPr>
          <w:rFonts w:ascii="Times New Roman" w:hAnsi="Times New Roman" w:cs="Times New Roman"/>
          <w:sz w:val="24"/>
          <w:szCs w:val="24"/>
        </w:rPr>
        <w:t xml:space="preserve"> 2) several newsletters </w:t>
      </w:r>
      <w:r>
        <w:rPr>
          <w:rFonts w:ascii="Times New Roman" w:hAnsi="Times New Roman" w:cs="Times New Roman"/>
          <w:sz w:val="24"/>
          <w:szCs w:val="24"/>
        </w:rPr>
        <w:t>each</w:t>
      </w:r>
      <w:r w:rsidRPr="004F7337">
        <w:rPr>
          <w:rFonts w:ascii="Times New Roman" w:hAnsi="Times New Roman" w:cs="Times New Roman"/>
          <w:sz w:val="24"/>
          <w:szCs w:val="24"/>
        </w:rPr>
        <w:t xml:space="preserve"> year</w:t>
      </w:r>
      <w:r w:rsidR="006E1CD4">
        <w:rPr>
          <w:rFonts w:ascii="Times New Roman" w:hAnsi="Times New Roman" w:cs="Times New Roman"/>
          <w:sz w:val="24"/>
          <w:szCs w:val="24"/>
        </w:rPr>
        <w:t>, and 3) emails about news in the field (</w:t>
      </w:r>
      <w:r w:rsidR="006E1CD4" w:rsidRPr="006E1CD4">
        <w:rPr>
          <w:rFonts w:ascii="Times New Roman" w:hAnsi="Times New Roman" w:cs="Times New Roman"/>
          <w:sz w:val="24"/>
          <w:szCs w:val="24"/>
        </w:rPr>
        <w:t>publication</w:t>
      </w:r>
      <w:r w:rsidR="006E1CD4">
        <w:rPr>
          <w:rFonts w:ascii="Times New Roman" w:hAnsi="Times New Roman" w:cs="Times New Roman"/>
          <w:sz w:val="24"/>
          <w:szCs w:val="24"/>
        </w:rPr>
        <w:t>s</w:t>
      </w:r>
      <w:r w:rsidR="006E1CD4" w:rsidRPr="006E1CD4">
        <w:rPr>
          <w:rFonts w:ascii="Times New Roman" w:hAnsi="Times New Roman" w:cs="Times New Roman"/>
          <w:sz w:val="24"/>
          <w:szCs w:val="24"/>
        </w:rPr>
        <w:t>, calls for papers, job offers</w:t>
      </w:r>
      <w:r w:rsidR="006E1CD4">
        <w:rPr>
          <w:rFonts w:ascii="Times New Roman" w:hAnsi="Times New Roman" w:cs="Times New Roman"/>
          <w:sz w:val="24"/>
          <w:szCs w:val="24"/>
        </w:rPr>
        <w:t>,</w:t>
      </w:r>
      <w:r w:rsidR="006E1CD4" w:rsidRPr="006E1CD4">
        <w:rPr>
          <w:rFonts w:ascii="Times New Roman" w:hAnsi="Times New Roman" w:cs="Times New Roman"/>
          <w:sz w:val="24"/>
          <w:szCs w:val="24"/>
        </w:rPr>
        <w:t xml:space="preserve"> etc.).</w:t>
      </w:r>
      <w:r w:rsidRPr="004F7337">
        <w:rPr>
          <w:rFonts w:ascii="Times New Roman" w:hAnsi="Times New Roman" w:cs="Times New Roman"/>
          <w:sz w:val="24"/>
          <w:szCs w:val="24"/>
        </w:rPr>
        <w:t xml:space="preserve"> </w:t>
      </w:r>
      <w:r w:rsidR="00D61BBE">
        <w:rPr>
          <w:rFonts w:ascii="Times New Roman" w:hAnsi="Times New Roman" w:cs="Times New Roman"/>
          <w:sz w:val="24"/>
          <w:szCs w:val="24"/>
        </w:rPr>
        <w:t xml:space="preserve">Moreover, PhD student members may benefit from a </w:t>
      </w:r>
      <w:r w:rsidRPr="004F7337">
        <w:rPr>
          <w:rFonts w:ascii="Times New Roman" w:hAnsi="Times New Roman" w:cs="Times New Roman"/>
          <w:sz w:val="24"/>
          <w:szCs w:val="24"/>
        </w:rPr>
        <w:t xml:space="preserve">limited number of bursaries available to support </w:t>
      </w:r>
      <w:r>
        <w:rPr>
          <w:rFonts w:ascii="Times New Roman" w:hAnsi="Times New Roman" w:cs="Times New Roman"/>
          <w:sz w:val="24"/>
          <w:szCs w:val="24"/>
        </w:rPr>
        <w:t xml:space="preserve">their participation at conferences, and the </w:t>
      </w:r>
      <w:r w:rsidRPr="004F7337">
        <w:rPr>
          <w:rFonts w:ascii="Times New Roman" w:hAnsi="Times New Roman" w:cs="Times New Roman"/>
          <w:sz w:val="24"/>
          <w:szCs w:val="24"/>
        </w:rPr>
        <w:t>award of a prize for the best paper presented by a PhD student at each triennial conference.</w:t>
      </w:r>
      <w:r w:rsidR="00007ED7" w:rsidRPr="00007ED7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7203DB23" w14:textId="658C67D8" w:rsidR="00667B1C" w:rsidRDefault="00103324" w:rsidP="00956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fees constitute</w:t>
      </w:r>
      <w:r w:rsidR="004F7337">
        <w:rPr>
          <w:rFonts w:ascii="Times New Roman" w:hAnsi="Times New Roman" w:cs="Times New Roman"/>
          <w:sz w:val="24"/>
          <w:szCs w:val="24"/>
        </w:rPr>
        <w:t xml:space="preserve"> the main means for ESREA to pursue its mis</w:t>
      </w:r>
      <w:r>
        <w:rPr>
          <w:rFonts w:ascii="Times New Roman" w:hAnsi="Times New Roman" w:cs="Times New Roman"/>
          <w:sz w:val="24"/>
          <w:szCs w:val="24"/>
        </w:rPr>
        <w:t>sion. I</w:t>
      </w:r>
      <w:r w:rsidR="004F7337">
        <w:rPr>
          <w:rFonts w:ascii="Times New Roman" w:hAnsi="Times New Roman" w:cs="Times New Roman"/>
          <w:sz w:val="24"/>
          <w:szCs w:val="24"/>
        </w:rPr>
        <w:t xml:space="preserve">ts </w:t>
      </w:r>
      <w:hyperlink r:id="rId15" w:history="1">
        <w:r w:rsidR="00D61BBE" w:rsidRPr="00103324">
          <w:rPr>
            <w:rStyle w:val="Hyperlink"/>
            <w:rFonts w:ascii="Times New Roman" w:hAnsi="Times New Roman" w:cs="Times New Roman"/>
            <w:sz w:val="24"/>
            <w:szCs w:val="24"/>
          </w:rPr>
          <w:t>Presidium</w:t>
        </w:r>
        <w:r w:rsidR="004F7337" w:rsidRPr="0010332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D61BBE" w:rsidRPr="00103324">
          <w:rPr>
            <w:rStyle w:val="Hyperlink"/>
            <w:rFonts w:ascii="Times New Roman" w:hAnsi="Times New Roman" w:cs="Times New Roman"/>
            <w:sz w:val="24"/>
            <w:szCs w:val="24"/>
          </w:rPr>
          <w:t>members</w:t>
        </w:r>
      </w:hyperlink>
      <w:r w:rsidR="004F7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61BBE">
        <w:rPr>
          <w:rFonts w:ascii="Times New Roman" w:hAnsi="Times New Roman" w:cs="Times New Roman"/>
          <w:sz w:val="24"/>
          <w:szCs w:val="24"/>
        </w:rPr>
        <w:t xml:space="preserve"> all convenors of its </w:t>
      </w:r>
      <w:r w:rsidR="004F7337">
        <w:rPr>
          <w:rFonts w:ascii="Times New Roman" w:hAnsi="Times New Roman" w:cs="Times New Roman"/>
          <w:sz w:val="24"/>
          <w:szCs w:val="24"/>
        </w:rPr>
        <w:t>research network</w:t>
      </w:r>
      <w:r>
        <w:rPr>
          <w:rFonts w:ascii="Times New Roman" w:hAnsi="Times New Roman" w:cs="Times New Roman"/>
          <w:sz w:val="24"/>
          <w:szCs w:val="24"/>
        </w:rPr>
        <w:t>s</w:t>
      </w:r>
      <w:r w:rsidR="004F7337">
        <w:rPr>
          <w:rFonts w:ascii="Times New Roman" w:hAnsi="Times New Roman" w:cs="Times New Roman"/>
          <w:sz w:val="24"/>
          <w:szCs w:val="24"/>
        </w:rPr>
        <w:t xml:space="preserve"> </w:t>
      </w:r>
      <w:r w:rsidR="00D61BBE">
        <w:rPr>
          <w:rFonts w:ascii="Times New Roman" w:hAnsi="Times New Roman" w:cs="Times New Roman"/>
          <w:sz w:val="24"/>
          <w:szCs w:val="24"/>
        </w:rPr>
        <w:t>serve the society on a voluntary basis.</w:t>
      </w:r>
    </w:p>
    <w:p w14:paraId="718512EA" w14:textId="70400CA2" w:rsidR="00106FEC" w:rsidRPr="00106FEC" w:rsidRDefault="00106FEC" w:rsidP="00956B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896E0" w14:textId="643191E5" w:rsidR="00106FEC" w:rsidRDefault="00B91BE4" w:rsidP="00956BAF">
      <w:pPr>
        <w:jc w:val="both"/>
        <w:rPr>
          <w:rFonts w:ascii="Times New Roman" w:hAnsi="Times New Roman" w:cs="Times New Roman"/>
          <w:sz w:val="24"/>
          <w:szCs w:val="24"/>
        </w:rPr>
      </w:pPr>
      <w:r w:rsidRPr="00AD2CFF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92544" behindDoc="1" locked="0" layoutInCell="1" allowOverlap="1" wp14:anchorId="4748E4B1" wp14:editId="6E64BEBA">
            <wp:simplePos x="0" y="0"/>
            <wp:positionH relativeFrom="column">
              <wp:posOffset>2038350</wp:posOffset>
            </wp:positionH>
            <wp:positionV relativeFrom="paragraph">
              <wp:posOffset>10795</wp:posOffset>
            </wp:positionV>
            <wp:extent cx="1003300" cy="1003300"/>
            <wp:effectExtent l="0" t="0" r="6350" b="635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4" name="Grafik 3" descr="Ein Bild, das Muster, Quadrat, Kunst, Symmetrie enthält.&#10;&#10;KI-generierte Inhalte können fehlerhaft sein.">
              <a:extLst xmlns:a="http://schemas.openxmlformats.org/drawingml/2006/main">
                <a:ext uri="{FF2B5EF4-FFF2-40B4-BE49-F238E27FC236}">
                  <a16:creationId xmlns:a16="http://schemas.microsoft.com/office/drawing/2014/main" id="{4BB817A0-D016-AA88-01AC-6FD169C92E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Ein Bild, das Muster, Quadrat, Kunst, Symmetrie enthält.&#10;&#10;KI-generierte Inhalte können fehlerhaft sein.">
                      <a:extLst>
                        <a:ext uri="{FF2B5EF4-FFF2-40B4-BE49-F238E27FC236}">
                          <a16:creationId xmlns:a16="http://schemas.microsoft.com/office/drawing/2014/main" id="{4BB817A0-D016-AA88-01AC-6FD169C92E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FEC" w:rsidRPr="005941D9">
        <w:rPr>
          <w:rFonts w:ascii="Times New Roman" w:hAnsi="Times New Roman" w:cs="Times New Roman"/>
          <w:sz w:val="24"/>
          <w:szCs w:val="24"/>
        </w:rPr>
        <w:t xml:space="preserve">Follow ESREA on </w:t>
      </w:r>
      <w:hyperlink r:id="rId17" w:history="1">
        <w:r w:rsidR="00106FEC" w:rsidRPr="005941D9">
          <w:rPr>
            <w:rStyle w:val="Hyperlink"/>
            <w:rFonts w:ascii="Times New Roman" w:hAnsi="Times New Roman" w:cs="Times New Roman"/>
            <w:sz w:val="24"/>
            <w:szCs w:val="24"/>
          </w:rPr>
          <w:t>Lin</w:t>
        </w:r>
        <w:r w:rsidR="00106FEC" w:rsidRPr="005941D9">
          <w:rPr>
            <w:rStyle w:val="Hyperlink"/>
            <w:rFonts w:ascii="Times New Roman" w:hAnsi="Times New Roman" w:cs="Times New Roman"/>
            <w:sz w:val="24"/>
            <w:szCs w:val="24"/>
          </w:rPr>
          <w:t>k</w:t>
        </w:r>
        <w:r w:rsidR="00106FEC" w:rsidRPr="005941D9">
          <w:rPr>
            <w:rStyle w:val="Hyperlink"/>
            <w:rFonts w:ascii="Times New Roman" w:hAnsi="Times New Roman" w:cs="Times New Roman"/>
            <w:sz w:val="24"/>
            <w:szCs w:val="24"/>
          </w:rPr>
          <w:t>edIn!</w:t>
        </w:r>
      </w:hyperlink>
      <w:r w:rsidR="00106F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45A58" w14:textId="4F248710" w:rsidR="00A8412C" w:rsidRDefault="00A8412C" w:rsidP="00956B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36BA1" w14:textId="77777777" w:rsidR="00106FEC" w:rsidRDefault="00106FEC" w:rsidP="00956B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0A867" w14:textId="77777777" w:rsidR="00106FEC" w:rsidRDefault="00106FEC" w:rsidP="00956B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61B77" w14:textId="77777777" w:rsidR="00106FEC" w:rsidRDefault="00106FEC" w:rsidP="00956B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CA7B3" w14:textId="44370C1C" w:rsidR="00A8412C" w:rsidRDefault="00A8412C" w:rsidP="00956B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412C" w:rsidSect="004851F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1A7"/>
    <w:rsid w:val="00007ED7"/>
    <w:rsid w:val="000D59BC"/>
    <w:rsid w:val="00103324"/>
    <w:rsid w:val="00106FEC"/>
    <w:rsid w:val="00250A5A"/>
    <w:rsid w:val="004851FC"/>
    <w:rsid w:val="004A51A7"/>
    <w:rsid w:val="004F7337"/>
    <w:rsid w:val="00563221"/>
    <w:rsid w:val="00570F33"/>
    <w:rsid w:val="0058799F"/>
    <w:rsid w:val="005941D9"/>
    <w:rsid w:val="005E0180"/>
    <w:rsid w:val="006072CF"/>
    <w:rsid w:val="00637E07"/>
    <w:rsid w:val="00667B1C"/>
    <w:rsid w:val="006E1CD4"/>
    <w:rsid w:val="00956BAF"/>
    <w:rsid w:val="00A21A5F"/>
    <w:rsid w:val="00A8412C"/>
    <w:rsid w:val="00AC435E"/>
    <w:rsid w:val="00AD2CFF"/>
    <w:rsid w:val="00B66665"/>
    <w:rsid w:val="00B91BE4"/>
    <w:rsid w:val="00CF6274"/>
    <w:rsid w:val="00D61BBE"/>
    <w:rsid w:val="00E17616"/>
    <w:rsid w:val="00E2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5964B"/>
  <w14:defaultImageDpi w14:val="300"/>
  <w15:docId w15:val="{E3F8AE6C-F3B5-E341-B9EC-D4DACD42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51A7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Table of figures,Geneva 9,Font: Geneva 9,Boston 10,f,Testo nota a piè di pagina Carattere Carattere,Testo nota a piè di pagina Carattere,Testo nota a piè di pagina Carattere1 Carattere,Sprotna opomba-besedilo,Char Char"/>
    <w:basedOn w:val="Abbildungsverzeichnis"/>
    <w:next w:val="Standard"/>
    <w:link w:val="FunotentextZchn"/>
    <w:autoRedefine/>
    <w:uiPriority w:val="99"/>
    <w:unhideWhenUsed/>
    <w:qFormat/>
    <w:rsid w:val="006072CF"/>
    <w:pPr>
      <w:spacing w:before="120" w:after="120"/>
      <w:jc w:val="both"/>
    </w:pPr>
    <w:rPr>
      <w:rFonts w:asciiTheme="majorHAnsi" w:hAnsiTheme="majorHAnsi"/>
      <w:i/>
      <w:sz w:val="18"/>
      <w:szCs w:val="20"/>
      <w:lang w:val="en-AU"/>
    </w:rPr>
  </w:style>
  <w:style w:type="character" w:customStyle="1" w:styleId="FunotentextZchn">
    <w:name w:val="Fußnotentext Zchn"/>
    <w:aliases w:val="Table of figures Zchn,Geneva 9 Zchn,Font: Geneva 9 Zchn,Boston 10 Zchn,f Zchn,Testo nota a piè di pagina Carattere Carattere Zchn,Testo nota a piè di pagina Carattere Zchn,Testo nota a piè di pagina Carattere1 Carattere Zchn"/>
    <w:basedOn w:val="Absatz-Standardschriftart"/>
    <w:link w:val="Funotentext"/>
    <w:uiPriority w:val="99"/>
    <w:rsid w:val="006072CF"/>
    <w:rPr>
      <w:rFonts w:asciiTheme="majorHAnsi" w:hAnsiTheme="majorHAnsi"/>
      <w:i/>
      <w:sz w:val="18"/>
      <w:szCs w:val="20"/>
      <w:lang w:val="en-AU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072C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58799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Absatz-Standardschriftart"/>
    <w:rsid w:val="0058799F"/>
  </w:style>
  <w:style w:type="character" w:styleId="Hervorhebung">
    <w:name w:val="Emphasis"/>
    <w:basedOn w:val="Absatz-Standardschriftart"/>
    <w:uiPriority w:val="20"/>
    <w:qFormat/>
    <w:rsid w:val="0058799F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8799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61BBE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B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BAF"/>
    <w:rPr>
      <w:rFonts w:ascii="Lucida Grande" w:eastAsiaTheme="minorHAnsi" w:hAnsi="Lucida Grande" w:cs="Lucida Grande"/>
      <w:sz w:val="18"/>
      <w:szCs w:val="18"/>
      <w:lang w:val="en-GB"/>
    </w:rPr>
  </w:style>
  <w:style w:type="paragraph" w:styleId="berarbeitung">
    <w:name w:val="Revision"/>
    <w:hidden/>
    <w:uiPriority w:val="99"/>
    <w:semiHidden/>
    <w:rsid w:val="00E20177"/>
    <w:rPr>
      <w:rFonts w:eastAsiaTheme="minorHAnsi"/>
      <w:sz w:val="22"/>
      <w:szCs w:val="22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017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01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01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0177"/>
    <w:rPr>
      <w:rFonts w:eastAsiaTheme="minorHAnsi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01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0177"/>
    <w:rPr>
      <w:rFonts w:eastAsiaTheme="minorHAnsi"/>
      <w:b/>
      <w:bCs/>
      <w:sz w:val="20"/>
      <w:szCs w:val="20"/>
      <w:lang w:val="en-GB"/>
    </w:rPr>
  </w:style>
  <w:style w:type="table" w:styleId="Tabellenraster">
    <w:name w:val="Table Grid"/>
    <w:basedOn w:val="NormaleTabelle"/>
    <w:uiPriority w:val="59"/>
    <w:rsid w:val="00A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srea.org/network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esrea.org/activities/seasonal-schools/" TargetMode="External"/><Relationship Id="rId17" Type="http://schemas.openxmlformats.org/officeDocument/2006/relationships/hyperlink" Target="https://www.linkedin.com/company/esrea/people/?viewAsMember=tru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la.ep.liu.s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srea.org/about-us/presidium/" TargetMode="External"/><Relationship Id="rId10" Type="http://schemas.openxmlformats.org/officeDocument/2006/relationships/hyperlink" Target="https://esrea.org/publications/book-series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esrea.org" TargetMode="External"/><Relationship Id="rId14" Type="http://schemas.openxmlformats.org/officeDocument/2006/relationships/hyperlink" Target="https://esrea.org/about-us/membe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a72f6-2060-4661-9cfe-97e4e2f7da5f">
      <Terms xmlns="http://schemas.microsoft.com/office/infopath/2007/PartnerControls"/>
    </lcf76f155ced4ddcb4097134ff3c332f>
    <TaxCatchAll xmlns="dd9e0e75-209e-44b8-975e-d4794545e8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9B8B4F5E637F43AF8AED62ED19A79E" ma:contentTypeVersion="17" ma:contentTypeDescription="Ein neues Dokument erstellen." ma:contentTypeScope="" ma:versionID="163daca08c86d4381018bb9b9ee89051">
  <xsd:schema xmlns:xsd="http://www.w3.org/2001/XMLSchema" xmlns:xs="http://www.w3.org/2001/XMLSchema" xmlns:p="http://schemas.microsoft.com/office/2006/metadata/properties" xmlns:ns2="1bba72f6-2060-4661-9cfe-97e4e2f7da5f" xmlns:ns3="dd9e0e75-209e-44b8-975e-d4794545e8e4" targetNamespace="http://schemas.microsoft.com/office/2006/metadata/properties" ma:root="true" ma:fieldsID="f5480e5cc3a94421fad3933737a2d89d" ns2:_="" ns3:_="">
    <xsd:import namespace="1bba72f6-2060-4661-9cfe-97e4e2f7da5f"/>
    <xsd:import namespace="dd9e0e75-209e-44b8-975e-d4794545e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a72f6-2060-4661-9cfe-97e4e2f7d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db0bd3c-7ed0-4f4b-94bf-933411465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e0e75-209e-44b8-975e-d4794545e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5bf85ea-ece8-4a73-9364-d90724b4dbd3}" ma:internalName="TaxCatchAll" ma:showField="CatchAllData" ma:web="dd9e0e75-209e-44b8-975e-d4794545e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00B61-3E8F-49C9-A41F-D306C83FAEFC}">
  <ds:schemaRefs>
    <ds:schemaRef ds:uri="http://schemas.microsoft.com/office/2006/metadata/properties"/>
    <ds:schemaRef ds:uri="http://schemas.microsoft.com/office/infopath/2007/PartnerControls"/>
    <ds:schemaRef ds:uri="1bba72f6-2060-4661-9cfe-97e4e2f7da5f"/>
    <ds:schemaRef ds:uri="dd9e0e75-209e-44b8-975e-d4794545e8e4"/>
  </ds:schemaRefs>
</ds:datastoreItem>
</file>

<file path=customXml/itemProps2.xml><?xml version="1.0" encoding="utf-8"?>
<ds:datastoreItem xmlns:ds="http://schemas.openxmlformats.org/officeDocument/2006/customXml" ds:itemID="{132D419F-7683-48DB-A68C-EE616DA83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EBA38-6997-41E2-A1AD-642A7EC90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a72f6-2060-4661-9cfe-97e4e2f7da5f"/>
    <ds:schemaRef ds:uri="dd9e0e75-209e-44b8-975e-d4794545e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Lattke, Susanne</cp:lastModifiedBy>
  <cp:revision>22</cp:revision>
  <dcterms:created xsi:type="dcterms:W3CDTF">2023-06-21T07:43:00Z</dcterms:created>
  <dcterms:modified xsi:type="dcterms:W3CDTF">2025-04-10T10:06:00Z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0x010100DA9B8B4F5E637F43AF8AED62ED19A79E</vt:lpwstr>
  </property>
</Properties>
</file>